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F5990"/>
    <w:p w14:paraId="29F654D7">
      <w:pPr>
        <w:spacing w:line="540" w:lineRule="exact"/>
        <w:jc w:val="center"/>
        <w:rPr>
          <w:rFonts w:hint="default" w:ascii="Times New Roman" w:hAnsi="Times New Roman" w:eastAsia="华文中宋" w:cs="Times New Roman"/>
          <w:b/>
          <w:kern w:val="0"/>
          <w:sz w:val="52"/>
          <w:szCs w:val="52"/>
        </w:rPr>
      </w:pPr>
    </w:p>
    <w:p w14:paraId="300E380F">
      <w:pPr>
        <w:spacing w:line="540" w:lineRule="exact"/>
        <w:rPr>
          <w:rFonts w:hint="default" w:ascii="Times New Roman" w:hAnsi="Times New Roman" w:eastAsia="华文中宋" w:cs="Times New Roman"/>
          <w:b/>
          <w:kern w:val="0"/>
          <w:sz w:val="52"/>
          <w:szCs w:val="52"/>
        </w:rPr>
      </w:pPr>
    </w:p>
    <w:p w14:paraId="1BDECF58">
      <w:pPr>
        <w:spacing w:line="540" w:lineRule="exact"/>
        <w:jc w:val="center"/>
        <w:rPr>
          <w:rFonts w:hint="default" w:ascii="Times New Roman" w:hAnsi="Times New Roman" w:eastAsia="华文中宋" w:cs="Times New Roman"/>
          <w:b/>
          <w:kern w:val="0"/>
          <w:sz w:val="52"/>
          <w:szCs w:val="52"/>
        </w:rPr>
      </w:pPr>
    </w:p>
    <w:p w14:paraId="25E41E96">
      <w:pPr>
        <w:spacing w:line="540" w:lineRule="exact"/>
        <w:jc w:val="center"/>
        <w:rPr>
          <w:rFonts w:hint="default" w:ascii="Times New Roman" w:hAnsi="Times New Roman" w:eastAsia="华文中宋" w:cs="Times New Roman"/>
          <w:b/>
          <w:kern w:val="0"/>
          <w:sz w:val="52"/>
          <w:szCs w:val="52"/>
        </w:rPr>
      </w:pPr>
    </w:p>
    <w:p w14:paraId="581B42DD">
      <w:pPr>
        <w:spacing w:line="700" w:lineRule="exact"/>
        <w:ind w:left="960" w:hanging="960" w:hangingChars="200"/>
        <w:jc w:val="left"/>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2024年中央林业改革发展资金完善退耕还生态林项目支出绩效评价报告</w:t>
      </w:r>
    </w:p>
    <w:p w14:paraId="7015ABFB">
      <w:pPr>
        <w:spacing w:line="540" w:lineRule="exact"/>
        <w:jc w:val="center"/>
        <w:rPr>
          <w:rFonts w:hint="default" w:ascii="Times New Roman" w:hAnsi="Times New Roman" w:eastAsia="华文中宋" w:cs="Times New Roman"/>
          <w:b/>
          <w:kern w:val="0"/>
          <w:sz w:val="52"/>
          <w:szCs w:val="52"/>
        </w:rPr>
      </w:pPr>
    </w:p>
    <w:p w14:paraId="60B439F4">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8ED3F67">
      <w:pPr>
        <w:spacing w:line="540" w:lineRule="exact"/>
        <w:jc w:val="center"/>
        <w:rPr>
          <w:rFonts w:hint="default" w:ascii="Times New Roman" w:hAnsi="Times New Roman" w:eastAsia="仿宋_GB2312" w:cs="Times New Roman"/>
          <w:kern w:val="0"/>
          <w:sz w:val="30"/>
          <w:szCs w:val="30"/>
        </w:rPr>
      </w:pPr>
    </w:p>
    <w:p w14:paraId="5A8AE129">
      <w:pPr>
        <w:spacing w:line="540" w:lineRule="exact"/>
        <w:jc w:val="center"/>
        <w:rPr>
          <w:rFonts w:hint="default" w:ascii="Times New Roman" w:hAnsi="Times New Roman" w:eastAsia="仿宋_GB2312" w:cs="Times New Roman"/>
          <w:kern w:val="0"/>
          <w:sz w:val="30"/>
          <w:szCs w:val="30"/>
        </w:rPr>
      </w:pPr>
    </w:p>
    <w:p w14:paraId="53AE3AD7">
      <w:pPr>
        <w:spacing w:line="540" w:lineRule="exact"/>
        <w:jc w:val="center"/>
        <w:rPr>
          <w:rFonts w:hint="default" w:ascii="Times New Roman" w:hAnsi="Times New Roman" w:eastAsia="仿宋_GB2312" w:cs="Times New Roman"/>
          <w:kern w:val="0"/>
          <w:sz w:val="30"/>
          <w:szCs w:val="30"/>
        </w:rPr>
      </w:pPr>
    </w:p>
    <w:p w14:paraId="2AE3E8C0">
      <w:pPr>
        <w:pStyle w:val="9"/>
        <w:rPr>
          <w:rFonts w:hint="default" w:ascii="Times New Roman" w:hAnsi="Times New Roman" w:cs="Times New Roman"/>
        </w:rPr>
      </w:pPr>
    </w:p>
    <w:p w14:paraId="3E683FBF">
      <w:pPr>
        <w:spacing w:line="540" w:lineRule="exact"/>
        <w:jc w:val="center"/>
        <w:rPr>
          <w:rFonts w:hint="default" w:ascii="Times New Roman" w:hAnsi="Times New Roman" w:eastAsia="仿宋_GB2312" w:cs="Times New Roman"/>
          <w:kern w:val="0"/>
          <w:sz w:val="30"/>
          <w:szCs w:val="30"/>
        </w:rPr>
      </w:pPr>
    </w:p>
    <w:p w14:paraId="1F1B98E9">
      <w:pPr>
        <w:spacing w:line="540" w:lineRule="exact"/>
        <w:rPr>
          <w:rFonts w:hint="default" w:ascii="Times New Roman" w:hAnsi="Times New Roman" w:eastAsia="仿宋_GB2312" w:cs="Times New Roman"/>
          <w:kern w:val="0"/>
          <w:sz w:val="30"/>
          <w:szCs w:val="30"/>
        </w:rPr>
      </w:pPr>
    </w:p>
    <w:p w14:paraId="60E900C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项目名称：2024年中央林业改革发展资金完善退耕还生态林项目</w:t>
      </w:r>
    </w:p>
    <w:p w14:paraId="3F6FC788">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托里县林业总站</w:t>
      </w:r>
    </w:p>
    <w:p w14:paraId="57B0012F">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托里县自然资源局</w:t>
      </w:r>
    </w:p>
    <w:p w14:paraId="56341EE2">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李彦青</w:t>
      </w:r>
    </w:p>
    <w:p w14:paraId="21B9001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19</w:t>
      </w:r>
      <w:r>
        <w:rPr>
          <w:rFonts w:hint="default" w:ascii="Times New Roman" w:hAnsi="Times New Roman" w:eastAsia="仿宋_GB2312" w:cs="Times New Roman"/>
          <w:kern w:val="0"/>
          <w:sz w:val="36"/>
          <w:szCs w:val="36"/>
        </w:rPr>
        <w:t>日</w:t>
      </w:r>
    </w:p>
    <w:p w14:paraId="24F49707">
      <w:pPr>
        <w:spacing w:line="540" w:lineRule="exact"/>
        <w:jc w:val="center"/>
        <w:rPr>
          <w:rFonts w:hint="default" w:ascii="Times New Roman" w:hAnsi="Times New Roman" w:eastAsia="仿宋_GB2312" w:cs="Times New Roman"/>
          <w:kern w:val="0"/>
          <w:sz w:val="30"/>
          <w:szCs w:val="30"/>
        </w:rPr>
      </w:pPr>
    </w:p>
    <w:p w14:paraId="6E86E37B">
      <w:pPr>
        <w:spacing w:line="540" w:lineRule="exact"/>
        <w:rPr>
          <w:rStyle w:val="15"/>
          <w:rFonts w:hint="default" w:ascii="Times New Roman" w:hAnsi="Times New Roman" w:eastAsia="黑体" w:cs="Times New Roman"/>
          <w:b w:val="0"/>
          <w:spacing w:val="-4"/>
          <w:sz w:val="32"/>
          <w:szCs w:val="32"/>
        </w:rPr>
      </w:pPr>
    </w:p>
    <w:p w14:paraId="1D99735B">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B43639E">
      <w:pPr>
        <w:spacing w:line="560" w:lineRule="exact"/>
        <w:ind w:firstLine="320" w:firstLineChars="1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200620E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429D36B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B575EE7">
      <w:pPr>
        <w:pStyle w:val="9"/>
        <w:numPr>
          <w:ilvl w:val="0"/>
          <w:numId w:val="0"/>
        </w:numPr>
        <w:spacing w:before="0" w:after="0" w:line="560" w:lineRule="exact"/>
        <w:ind w:firstLine="600" w:firstLineChars="200"/>
        <w:jc w:val="both"/>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为改善生态环境，遏制水土流失和土地沙化，提高森林覆盖率，我国大力推进退耕还林工程。本</w:t>
      </w:r>
      <w:r>
        <w:rPr>
          <w:rFonts w:hint="eastAsia" w:ascii="Times New Roman" w:hAnsi="Times New Roman" w:eastAsia="仿宋_GB2312" w:cs="Times New Roman"/>
          <w:b w:val="0"/>
          <w:bCs w:val="0"/>
          <w:kern w:val="2"/>
          <w:sz w:val="30"/>
          <w:szCs w:val="30"/>
          <w:highlight w:val="none"/>
          <w:lang w:val="en-US" w:eastAsia="zh-CN" w:bidi="ar-SA"/>
        </w:rPr>
        <w:t>县</w:t>
      </w:r>
      <w:r>
        <w:rPr>
          <w:rFonts w:hint="default" w:ascii="Times New Roman" w:hAnsi="Times New Roman" w:eastAsia="仿宋_GB2312" w:cs="Times New Roman"/>
          <w:b w:val="0"/>
          <w:bCs w:val="0"/>
          <w:kern w:val="2"/>
          <w:sz w:val="30"/>
          <w:szCs w:val="30"/>
          <w:highlight w:val="none"/>
          <w:lang w:val="en-US" w:eastAsia="zh-CN" w:bidi="ar-SA"/>
        </w:rPr>
        <w:t xml:space="preserve">积极响应国家政策，实施退耕还林项目，旨在通过对不适宜耕种的坡耕地、沙化耕地等进行还林还草，恢复生态系统功能，促进区域生态与经济协调发展 </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从而达到有效减少水土流失、改善生态环境</w:t>
      </w:r>
      <w:r>
        <w:rPr>
          <w:rFonts w:hint="eastAsia" w:ascii="Times New Roman" w:hAnsi="Times New Roman" w:eastAsia="仿宋_GB2312" w:cs="Times New Roman"/>
          <w:b w:val="0"/>
          <w:bCs w:val="0"/>
          <w:kern w:val="2"/>
          <w:sz w:val="30"/>
          <w:szCs w:val="30"/>
          <w:highlight w:val="none"/>
          <w:lang w:val="en-US" w:eastAsia="zh-CN" w:bidi="ar-SA"/>
        </w:rPr>
        <w:t>。</w:t>
      </w:r>
    </w:p>
    <w:p w14:paraId="4DBDAC8D">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05081B2">
      <w:pPr>
        <w:ind w:firstLine="600" w:firstLineChars="200"/>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项目主要内容：</w:t>
      </w:r>
      <w:r>
        <w:rPr>
          <w:rFonts w:hint="eastAsia" w:ascii="Times New Roman" w:hAnsi="Times New Roman" w:eastAsia="仿宋_GB2312" w:cs="Times New Roman"/>
          <w:b w:val="0"/>
          <w:bCs w:val="0"/>
          <w:kern w:val="2"/>
          <w:sz w:val="30"/>
          <w:szCs w:val="30"/>
          <w:highlight w:val="none"/>
          <w:lang w:val="en-US" w:eastAsia="zh-CN" w:bidi="ar-SA"/>
        </w:rPr>
        <w:t>托里县林业总站</w:t>
      </w:r>
      <w:r>
        <w:rPr>
          <w:rFonts w:hint="default" w:ascii="Times New Roman" w:hAnsi="Times New Roman" w:eastAsia="仿宋_GB2312" w:cs="Times New Roman"/>
          <w:b w:val="0"/>
          <w:bCs w:val="0"/>
          <w:kern w:val="2"/>
          <w:sz w:val="30"/>
          <w:szCs w:val="30"/>
          <w:highlight w:val="none"/>
          <w:lang w:val="en-US" w:eastAsia="zh-CN" w:bidi="ar-SA"/>
        </w:rPr>
        <w:t>2024年中央林业改革发展资金完善退耕还生态林项目</w:t>
      </w:r>
      <w:r>
        <w:rPr>
          <w:rFonts w:hint="eastAsia" w:ascii="Times New Roman" w:hAnsi="Times New Roman" w:eastAsia="仿宋_GB2312" w:cs="Times New Roman"/>
          <w:b w:val="0"/>
          <w:bCs w:val="0"/>
          <w:kern w:val="2"/>
          <w:sz w:val="30"/>
          <w:szCs w:val="30"/>
          <w:highlight w:val="none"/>
          <w:lang w:val="en-US" w:eastAsia="zh-CN" w:bidi="ar-SA"/>
        </w:rPr>
        <w:t>资金14.5</w:t>
      </w:r>
      <w:r>
        <w:rPr>
          <w:rFonts w:hint="eastAsia" w:eastAsia="仿宋_GB2312" w:cs="Times New Roman"/>
          <w:b w:val="0"/>
          <w:bCs w:val="0"/>
          <w:kern w:val="2"/>
          <w:sz w:val="30"/>
          <w:szCs w:val="30"/>
          <w:highlight w:val="none"/>
          <w:lang w:val="en-US" w:eastAsia="zh-CN" w:bidi="ar-SA"/>
        </w:rPr>
        <w:t>4</w:t>
      </w:r>
      <w:r>
        <w:rPr>
          <w:rFonts w:hint="eastAsia" w:ascii="Times New Roman" w:hAnsi="Times New Roman" w:eastAsia="仿宋_GB2312" w:cs="Times New Roman"/>
          <w:b w:val="0"/>
          <w:bCs w:val="0"/>
          <w:kern w:val="2"/>
          <w:sz w:val="30"/>
          <w:szCs w:val="30"/>
          <w:highlight w:val="none"/>
          <w:lang w:val="en-US" w:eastAsia="zh-CN" w:bidi="ar-SA"/>
        </w:rPr>
        <w:t>万元，涉及面积0.7268万亩、标准20元/亩，涉及乡镇包括阿克别里斗乡多拉特乡、库普乡、托里镇。兑现退耕还林补助资金，持续巩固好退耕还林成果，提升受益群众满意度。该</w:t>
      </w:r>
      <w:r>
        <w:rPr>
          <w:rFonts w:hint="default" w:ascii="Times New Roman" w:hAnsi="Times New Roman" w:eastAsia="仿宋_GB2312" w:cs="Times New Roman"/>
          <w:b w:val="0"/>
          <w:bCs w:val="0"/>
          <w:kern w:val="2"/>
          <w:sz w:val="30"/>
          <w:szCs w:val="30"/>
          <w:highlight w:val="none"/>
          <w:lang w:val="en-US" w:eastAsia="zh-CN" w:bidi="ar-SA"/>
        </w:rPr>
        <w:t>项目涵盖土地丈量、苗木采购、栽植、抚育管理、后期管护等工作。具体包括在规划区域内完成一定面积的退耕还林任务，选择适宜本地生长的树种，进行科学种植，并开展定期浇水、施肥、病虫害防治等抚育工作，确保苗木成活率和森林质量。</w:t>
      </w:r>
    </w:p>
    <w:p w14:paraId="583F2AED">
      <w:pPr>
        <w:ind w:firstLine="960" w:firstLineChars="3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ascii="Times New Roman" w:hAnsi="Times New Roman" w:eastAsia="仿宋_GB2312" w:cs="Times New Roman"/>
          <w:kern w:val="0"/>
          <w:sz w:val="30"/>
          <w:szCs w:val="30"/>
          <w:highlight w:val="none"/>
          <w:lang w:val="en-US" w:eastAsia="zh-CN" w:bidi="ar-SA"/>
        </w:rPr>
        <w:t>本项目于202</w:t>
      </w:r>
      <w:r>
        <w:rPr>
          <w:rFonts w:hint="eastAsia" w:eastAsia="仿宋_GB2312" w:cs="Times New Roman"/>
          <w:kern w:val="0"/>
          <w:sz w:val="30"/>
          <w:szCs w:val="30"/>
          <w:highlight w:val="none"/>
          <w:lang w:val="en-US" w:eastAsia="zh-CN" w:bidi="ar-SA"/>
        </w:rPr>
        <w:t>4</w:t>
      </w:r>
      <w:r>
        <w:rPr>
          <w:rFonts w:hint="eastAsia" w:ascii="Times New Roman" w:hAnsi="Times New Roman" w:eastAsia="仿宋_GB2312" w:cs="Times New Roman"/>
          <w:kern w:val="0"/>
          <w:sz w:val="30"/>
          <w:szCs w:val="30"/>
          <w:highlight w:val="none"/>
          <w:lang w:val="en-US" w:eastAsia="zh-CN" w:bidi="ar-SA"/>
        </w:rPr>
        <w:t>年1月开始实施，截至202</w:t>
      </w:r>
      <w:r>
        <w:rPr>
          <w:rFonts w:hint="eastAsia" w:eastAsia="仿宋_GB2312" w:cs="Times New Roman"/>
          <w:kern w:val="0"/>
          <w:sz w:val="30"/>
          <w:szCs w:val="30"/>
          <w:highlight w:val="none"/>
          <w:lang w:val="en-US" w:eastAsia="zh-CN" w:bidi="ar-SA"/>
        </w:rPr>
        <w:t>4</w:t>
      </w:r>
      <w:r>
        <w:rPr>
          <w:rFonts w:hint="eastAsia" w:ascii="Times New Roman" w:hAnsi="Times New Roman" w:eastAsia="仿宋_GB2312" w:cs="Times New Roman"/>
          <w:kern w:val="0"/>
          <w:sz w:val="30"/>
          <w:szCs w:val="30"/>
          <w:highlight w:val="none"/>
          <w:lang w:val="en-US" w:eastAsia="zh-CN" w:bidi="ar-SA"/>
        </w:rPr>
        <w:t>年12月已支付13.06万元完</w:t>
      </w:r>
      <w:r>
        <w:rPr>
          <w:rFonts w:hint="eastAsia" w:ascii="Times New Roman" w:hAnsi="Times New Roman" w:eastAsia="仿宋_GB2312" w:cs="Times New Roman"/>
          <w:sz w:val="32"/>
          <w:szCs w:val="32"/>
          <w:lang w:val="en-US" w:eastAsia="zh-CN"/>
        </w:rPr>
        <w:t>，用于支付退耕还林补贴、涉及的乡镇4个，包括阿克别里斗乡、多拉特乡、库普乡、托里镇、已验收面积6532亩、标准20元/亩、实行一卡通发放、完成率达89.</w:t>
      </w:r>
      <w:r>
        <w:rPr>
          <w:rFonts w:hint="eastAsia" w:eastAsia="仿宋_GB2312" w:cs="Times New Roman"/>
          <w:sz w:val="32"/>
          <w:szCs w:val="32"/>
          <w:lang w:val="en-US" w:eastAsia="zh-CN"/>
        </w:rPr>
        <w:t>82</w:t>
      </w:r>
      <w:r>
        <w:rPr>
          <w:rFonts w:hint="eastAsia" w:ascii="Times New Roman" w:hAnsi="Times New Roman" w:eastAsia="仿宋_GB2312" w:cs="Times New Roman"/>
          <w:sz w:val="32"/>
          <w:szCs w:val="32"/>
          <w:lang w:val="en-US" w:eastAsia="zh-CN"/>
        </w:rPr>
        <w:t>%。未支付1.472万元、因736亩林地验收不合</w:t>
      </w:r>
      <w:r>
        <w:rPr>
          <w:rFonts w:hint="eastAsia" w:ascii="Times New Roman" w:hAnsi="Times New Roman" w:eastAsia="仿宋_GB2312" w:cs="Times New Roman"/>
          <w:kern w:val="0"/>
          <w:sz w:val="30"/>
          <w:szCs w:val="30"/>
          <w:highlight w:val="none"/>
          <w:lang w:val="en-US" w:eastAsia="zh-CN" w:bidi="ar-SA"/>
        </w:rPr>
        <w:t>格，计划2025年春季开展补植</w:t>
      </w:r>
      <w:r>
        <w:rPr>
          <w:rFonts w:hint="eastAsia" w:eastAsia="仿宋_GB2312" w:cs="Times New Roman"/>
          <w:kern w:val="0"/>
          <w:sz w:val="30"/>
          <w:szCs w:val="30"/>
          <w:highlight w:val="none"/>
          <w:lang w:val="en-US" w:eastAsia="zh-CN" w:bidi="ar-SA"/>
        </w:rPr>
        <w:t>，加强林木管护。</w:t>
      </w:r>
      <w:r>
        <w:rPr>
          <w:rFonts w:hint="eastAsia" w:ascii="Times New Roman" w:hAnsi="Times New Roman" w:eastAsia="仿宋_GB2312" w:cs="Times New Roman"/>
          <w:kern w:val="0"/>
          <w:sz w:val="30"/>
          <w:szCs w:val="30"/>
          <w:highlight w:val="none"/>
          <w:lang w:val="en-US" w:eastAsia="zh-CN" w:bidi="ar-SA"/>
        </w:rPr>
        <w:t>通过本项目的实施，提高植被覆盖率，从而达到有效减少水土流失、改善环境质量。</w:t>
      </w:r>
    </w:p>
    <w:p w14:paraId="2012619C">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76A1F3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E071A53">
      <w:pPr>
        <w:shd w:val="clear" w:color="auto" w:fill="auto"/>
        <w:spacing w:line="600" w:lineRule="exact"/>
        <w:ind w:firstLine="640" w:firstLineChars="200"/>
        <w:outlineLvl w:val="0"/>
        <w:rPr>
          <w:rFonts w:hint="eastAsia"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p>
    <w:p w14:paraId="0C2EFCE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4F9FC40">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13.06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89.82</w:t>
      </w:r>
      <w:r>
        <w:rPr>
          <w:rFonts w:hint="default" w:ascii="Times New Roman" w:hAnsi="Times New Roman" w:eastAsia="仿宋_GB2312" w:cs="Times New Roman"/>
          <w:sz w:val="32"/>
          <w:szCs w:val="32"/>
          <w:highlight w:val="none"/>
          <w:lang w:val="en-US" w:eastAsia="zh-CN"/>
        </w:rPr>
        <w:t>%，主要用于：</w:t>
      </w:r>
      <w:r>
        <w:rPr>
          <w:rStyle w:val="15"/>
          <w:rFonts w:hint="eastAsia" w:ascii="仿宋_GB2312" w:hAnsi="楷体" w:eastAsia="仿宋_GB2312" w:cs="Times New Roman"/>
          <w:b w:val="0"/>
          <w:color w:val="000000"/>
          <w:spacing w:val="-4"/>
          <w:sz w:val="32"/>
          <w:szCs w:val="32"/>
          <w:lang w:val="en-US" w:eastAsia="zh-CN"/>
        </w:rPr>
        <w:t>2024年中央林业改革发展资金完善退耕还生态林项目。项目资金13.064万元，用于支付退耕还林补贴、涉及的乡镇4个，包括阿克别里斗乡、多拉特乡、库普乡、托里镇、已验收面积6532亩、标准20元/亩、实行一卡通发放、项目实施后，提高植被覆盖率，从而达到有效减少水土流失、改善环境质量。</w:t>
      </w:r>
    </w:p>
    <w:p w14:paraId="39EA112C">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A9CD1D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EAFA594">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全年耕还生态林抚育到位资金14.5</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万元、用于支付退耕还林面积7268亩、标准20元/亩、实行一卡通发放，涉及4个乡镇，共79户、包括阿克别里斗乡、多拉特乡、库普乡、托里镇，截止2024年年底已支付13.06万元完，完成率达89.82%。未支付1.472万元、涉及额敏县6户、因736亩林地验收不合格，计划2025年春季开展补植，加强林木管护。</w:t>
      </w:r>
    </w:p>
    <w:p w14:paraId="6465A0BC">
      <w:pPr>
        <w:numPr>
          <w:ilvl w:val="0"/>
          <w:numId w:val="0"/>
        </w:num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14:paraId="2270F07C">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在项目实施当年，完成苗木栽植任务，退耕还林地保存率达到</w:t>
      </w:r>
      <w:r>
        <w:rPr>
          <w:rFonts w:hint="eastAsia" w:eastAsia="仿宋_GB2312" w:cs="Times New Roman"/>
          <w:sz w:val="32"/>
          <w:szCs w:val="32"/>
          <w:highlight w:val="none"/>
          <w:lang w:val="en-US" w:eastAsia="zh-CN"/>
        </w:rPr>
        <w:t>65</w:t>
      </w:r>
      <w:r>
        <w:rPr>
          <w:rFonts w:hint="default" w:ascii="Times New Roman" w:hAnsi="Times New Roman" w:eastAsia="仿宋_GB2312" w:cs="Times New Roman"/>
          <w:sz w:val="32"/>
          <w:szCs w:val="32"/>
          <w:highlight w:val="none"/>
          <w:lang w:val="en-US" w:eastAsia="zh-CN"/>
        </w:rPr>
        <w:t>%以上</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开展第二次抚育管理，确保树木健康生长，形成稳定的森林生态系统，并通过林下经济等方式，带动农户人均增收</w:t>
      </w:r>
      <w:r>
        <w:rPr>
          <w:rFonts w:hint="eastAsia" w:eastAsia="仿宋_GB2312" w:cs="Times New Roman"/>
          <w:sz w:val="32"/>
          <w:szCs w:val="32"/>
          <w:highlight w:val="none"/>
          <w:lang w:val="en-US" w:eastAsia="zh-CN"/>
        </w:rPr>
        <w:t>提高</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并</w:t>
      </w:r>
      <w:r>
        <w:rPr>
          <w:rFonts w:hint="default" w:ascii="Times New Roman" w:hAnsi="Times New Roman" w:eastAsia="仿宋_GB2312" w:cs="Times New Roman"/>
          <w:sz w:val="32"/>
          <w:szCs w:val="32"/>
          <w:highlight w:val="none"/>
          <w:lang w:val="en-US" w:eastAsia="zh-CN"/>
        </w:rPr>
        <w:t>达到有效减少水土流失、改善生态环境，受益人员满意度达到90%</w:t>
      </w:r>
      <w:r>
        <w:rPr>
          <w:rFonts w:hint="eastAsia" w:eastAsia="仿宋_GB2312" w:cs="Times New Roman"/>
          <w:sz w:val="32"/>
          <w:szCs w:val="32"/>
          <w:highlight w:val="none"/>
          <w:lang w:val="en-US" w:eastAsia="zh-CN"/>
        </w:rPr>
        <w:t>以上</w:t>
      </w:r>
      <w:r>
        <w:rPr>
          <w:rFonts w:hint="default" w:ascii="Times New Roman" w:hAnsi="Times New Roman" w:eastAsia="仿宋_GB2312" w:cs="Times New Roman"/>
          <w:sz w:val="32"/>
          <w:szCs w:val="32"/>
          <w:highlight w:val="none"/>
          <w:lang w:val="en-US" w:eastAsia="zh-CN"/>
        </w:rPr>
        <w:t>。</w:t>
      </w:r>
    </w:p>
    <w:p w14:paraId="4529125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D6FD9D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760A02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7BA6E0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D02D39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24F9D0C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9948ED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DEB52F6">
      <w:pPr>
        <w:spacing w:line="560" w:lineRule="exact"/>
        <w:ind w:firstLine="640" w:firstLineChars="200"/>
        <w:rPr>
          <w:rFonts w:hint="default" w:ascii="Times New Roman" w:hAnsi="Times New Roman" w:eastAsia="仿宋_GB2312" w:cs="Times New Roman"/>
          <w:sz w:val="32"/>
          <w:szCs w:val="32"/>
          <w:highlight w:val="green"/>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4742A6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432300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51504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效益以及可持续性等多维度指标，为项目后续的改进与优化提供科学依据。</w:t>
      </w:r>
    </w:p>
    <w:p w14:paraId="7DE6E4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464D2A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927A0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220805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A9D2C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BEC08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81E1D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3A3D6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F33C6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14:paraId="1BF3856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6ACA372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本项目预算绩效评价报告的评价对象是2024年中央林业改革发展资金完善退耕还生态林项目及其预算执行情况。该项目由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托里县林业总站</w:t>
      </w:r>
      <w:r>
        <w:rPr>
          <w:rFonts w:hint="default" w:ascii="Times New Roman" w:hAnsi="Times New Roman" w:eastAsia="仿宋_GB2312" w:cs="Times New Roman"/>
          <w:b w:val="0"/>
          <w:bCs w:val="0"/>
          <w:kern w:val="2"/>
          <w:sz w:val="32"/>
          <w:szCs w:val="32"/>
          <w:highlight w:val="none"/>
          <w:lang w:val="en-US" w:eastAsia="zh-CN" w:bidi="ar-SA"/>
        </w:rPr>
        <w:t>负责实施，旨在用于支付退耕还林面积</w:t>
      </w:r>
      <w:r>
        <w:rPr>
          <w:rFonts w:hint="eastAsia" w:ascii="Times New Roman" w:hAnsi="Times New Roman" w:eastAsia="仿宋_GB2312" w:cs="Times New Roman"/>
          <w:b w:val="0"/>
          <w:bCs w:val="0"/>
          <w:kern w:val="2"/>
          <w:sz w:val="32"/>
          <w:szCs w:val="32"/>
          <w:highlight w:val="none"/>
          <w:lang w:val="en-US" w:eastAsia="zh-CN" w:bidi="ar-SA"/>
        </w:rPr>
        <w:t>6532</w:t>
      </w:r>
      <w:r>
        <w:rPr>
          <w:rFonts w:hint="default" w:ascii="Times New Roman" w:hAnsi="Times New Roman" w:eastAsia="仿宋_GB2312" w:cs="Times New Roman"/>
          <w:b w:val="0"/>
          <w:bCs w:val="0"/>
          <w:kern w:val="2"/>
          <w:sz w:val="32"/>
          <w:szCs w:val="32"/>
          <w:highlight w:val="none"/>
          <w:lang w:val="en-US" w:eastAsia="zh-CN" w:bidi="ar-SA"/>
        </w:rPr>
        <w:t>亩、标准20元/亩、实行一卡通发放。从而达到有效减少水土流失、改善生态环境。项目预算涵盖从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w:t>
      </w:r>
      <w:r>
        <w:rPr>
          <w:rFonts w:hint="default" w:ascii="Times New Roman" w:hAnsi="Times New Roman" w:eastAsia="仿宋_GB2312" w:cs="Times New Roman"/>
          <w:b w:val="0"/>
          <w:bCs w:val="0"/>
          <w:highlight w:val="none"/>
        </w:rPr>
        <w:t>入与支出，涉及资金总额为</w:t>
      </w:r>
      <w:r>
        <w:rPr>
          <w:rFonts w:hint="eastAsia" w:ascii="Times New Roman" w:hAnsi="Times New Roman" w:eastAsia="仿宋_GB2312" w:cs="Times New Roman"/>
          <w:b w:val="0"/>
          <w:bCs w:val="0"/>
          <w:kern w:val="2"/>
          <w:sz w:val="32"/>
          <w:szCs w:val="32"/>
          <w:highlight w:val="none"/>
          <w:lang w:val="en-US" w:eastAsia="zh-CN" w:bidi="ar-SA"/>
        </w:rPr>
        <w:t>13.06</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r>
        <w:rPr>
          <w:rFonts w:hint="default" w:ascii="Times New Roman" w:hAnsi="Times New Roman" w:eastAsia="仿宋_GB2312" w:cs="Times New Roman"/>
          <w:b w:val="0"/>
          <w:bCs w:val="0"/>
          <w:kern w:val="2"/>
          <w:sz w:val="32"/>
          <w:szCs w:val="32"/>
          <w:highlight w:val="none"/>
          <w:lang w:val="en-US" w:eastAsia="zh-CN" w:bidi="ar-SA"/>
        </w:rPr>
        <w:t>。</w:t>
      </w:r>
    </w:p>
    <w:p w14:paraId="4D7A4CE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2DBF643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5955395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0CB68D04">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56C8AE44">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E003C0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方面的综合影响。</w:t>
      </w:r>
    </w:p>
    <w:p w14:paraId="7C21B10F">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32C26FB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6EF959C">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90F25BA">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228079F5">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D444B36">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0DCB491">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4DB8E1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5813B12A">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81D3AB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67963DB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9EFFCF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594DF043">
      <w:pPr>
        <w:shd w:val="clear" w:color="auto" w:fill="auto"/>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C7C9D6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highlight w:val="none"/>
        </w:rPr>
        <w:t>（3）</w:t>
      </w:r>
      <w:r>
        <w:rPr>
          <w:rFonts w:hint="default" w:ascii="Times New Roman" w:hAnsi="Times New Roman" w:eastAsia="仿宋_GB2312" w:cs="Times New Roman"/>
          <w:color w:val="000000"/>
          <w:spacing w:val="17"/>
          <w:sz w:val="32"/>
          <w:szCs w:val="32"/>
        </w:rPr>
        <w:t>确定指标标准值</w:t>
      </w:r>
    </w:p>
    <w:p w14:paraId="3BD9801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FCFB6BE">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1BC32298">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A77F0C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683B24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A464E9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A3E06F2">
      <w:pPr>
        <w:spacing w:line="560" w:lineRule="exact"/>
        <w:ind w:firstLine="66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0"/>
          <w:szCs w:val="30"/>
          <w:highlight w:val="none"/>
        </w:rPr>
        <w:t>（一）成本效益分析法。</w:t>
      </w:r>
      <w:r>
        <w:rPr>
          <w:rFonts w:hint="eastAsia" w:eastAsia="仿宋_GB2312" w:cs="Times New Roman"/>
          <w:color w:val="000000"/>
          <w:spacing w:val="17"/>
          <w:sz w:val="30"/>
          <w:szCs w:val="30"/>
          <w:highlight w:val="none"/>
          <w:lang w:val="en-US" w:eastAsia="zh-CN"/>
        </w:rPr>
        <w:t>通过比较项目或决策的成本与效益来评估项目可行性，将各项成本和效益用指标表示出来，从而实现项目资金的有效配置。</w:t>
      </w:r>
    </w:p>
    <w:p w14:paraId="25F399F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04E2398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rPr>
        <w:t>标准。</w:t>
      </w:r>
    </w:p>
    <w:p w14:paraId="36810A3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val="en-US" w:eastAsia="zh-CN"/>
        </w:rPr>
        <w:t>通过对绩效指标完成情况以预先制定目标、计划、预算、定额等作为评价标准，量化对目标值进行比较、分析、评价，对完成绩效目标进行考核，方便快捷得出真实有效的评价结果。</w:t>
      </w:r>
    </w:p>
    <w:p w14:paraId="1A6ED984">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58E40E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7CB662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在项目绩效评价工作启动之初，成立了专门的评价工作小组，小组成员由由财务</w:t>
      </w:r>
      <w:r>
        <w:rPr>
          <w:rFonts w:hint="eastAsia"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rPr>
        <w:t>、项目管理人员及相关领域技术骨干组成，确保从多角度、全方位对项目绩效进行评价。同时，明确了评价工作的目标、范围、重点及时间安排，制定了详细的工作计划，为评价工作的顺利开展奠定了坚实基础。</w:t>
      </w:r>
    </w:p>
    <w:p w14:paraId="5794AD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A128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339469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4D10A0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24A41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F44EE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A0306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A4039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84D59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435DD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28BD750">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5CDA5AA5">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9E5D73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本项目的综合评价基于对项目各方面绩效的深入分析与评估。从项目目标的达成情况来看，2024年中央林业改革发展资金完善退耕还生态林项目在退耕还林地保存率、改善环境质量等方面表现出色，达到了预期的标准与要求。同时，项目也在退耕还林</w:t>
      </w:r>
      <w:r>
        <w:rPr>
          <w:rFonts w:hint="eastAsia" w:eastAsia="仿宋_GB2312" w:cs="Times New Roman"/>
          <w:kern w:val="2"/>
          <w:sz w:val="32"/>
          <w:szCs w:val="32"/>
          <w:highlight w:val="none"/>
          <w:lang w:val="en-US" w:eastAsia="zh-CN" w:bidi="ar-SA"/>
        </w:rPr>
        <w:t>补助</w:t>
      </w:r>
      <w:r>
        <w:rPr>
          <w:rFonts w:hint="default" w:ascii="Times New Roman" w:hAnsi="Times New Roman" w:eastAsia="仿宋_GB2312" w:cs="Times New Roman"/>
          <w:sz w:val="32"/>
          <w:szCs w:val="32"/>
          <w:highlight w:val="none"/>
          <w:lang w:val="en-US" w:eastAsia="zh-CN"/>
        </w:rPr>
        <w:t>实行一卡通发放</w:t>
      </w:r>
      <w:r>
        <w:rPr>
          <w:rFonts w:hint="eastAsia" w:eastAsia="仿宋_GB2312" w:cs="Times New Roman"/>
          <w:sz w:val="32"/>
          <w:szCs w:val="32"/>
          <w:highlight w:val="none"/>
          <w:lang w:val="en-US" w:eastAsia="zh-CN"/>
        </w:rPr>
        <w:t>方面</w:t>
      </w:r>
      <w:r>
        <w:rPr>
          <w:rFonts w:hint="default" w:ascii="Times New Roman" w:hAnsi="Times New Roman" w:eastAsia="仿宋_GB2312" w:cs="Times New Roman"/>
          <w:kern w:val="2"/>
          <w:sz w:val="32"/>
          <w:szCs w:val="32"/>
          <w:highlight w:val="none"/>
          <w:lang w:val="en-US" w:eastAsia="zh-CN" w:bidi="ar-SA"/>
        </w:rPr>
        <w:t>取得了显著的成效，如通过退耕还林</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项目区域内</w:t>
      </w:r>
      <w:r>
        <w:rPr>
          <w:rFonts w:hint="eastAsia" w:ascii="Times New Roman" w:hAnsi="Times New Roman" w:eastAsia="仿宋_GB2312" w:cs="Times New Roman"/>
          <w:kern w:val="2"/>
          <w:sz w:val="32"/>
          <w:szCs w:val="32"/>
          <w:highlight w:val="none"/>
          <w:lang w:val="en-US" w:eastAsia="zh-CN" w:bidi="ar-SA"/>
        </w:rPr>
        <w:t>减少了</w:t>
      </w:r>
      <w:r>
        <w:rPr>
          <w:rFonts w:hint="default" w:ascii="Times New Roman" w:hAnsi="Times New Roman" w:eastAsia="仿宋_GB2312" w:cs="Times New Roman"/>
          <w:kern w:val="2"/>
          <w:sz w:val="32"/>
          <w:szCs w:val="32"/>
          <w:highlight w:val="none"/>
          <w:lang w:val="en-US" w:eastAsia="zh-CN" w:bidi="ar-SA"/>
        </w:rPr>
        <w:t>水土流失量，提高了森林覆盖率，改善</w:t>
      </w:r>
      <w:r>
        <w:rPr>
          <w:rFonts w:hint="eastAsia" w:eastAsia="仿宋_GB2312" w:cs="Times New Roman"/>
          <w:kern w:val="2"/>
          <w:sz w:val="32"/>
          <w:szCs w:val="32"/>
          <w:highlight w:val="none"/>
          <w:lang w:val="en-US" w:eastAsia="zh-CN" w:bidi="ar-SA"/>
        </w:rPr>
        <w:t>了</w:t>
      </w:r>
      <w:r>
        <w:rPr>
          <w:rFonts w:hint="default" w:ascii="Times New Roman" w:hAnsi="Times New Roman" w:eastAsia="仿宋_GB2312" w:cs="Times New Roman"/>
          <w:kern w:val="2"/>
          <w:sz w:val="32"/>
          <w:szCs w:val="32"/>
          <w:highlight w:val="none"/>
          <w:lang w:val="en-US" w:eastAsia="zh-CN" w:bidi="ar-SA"/>
        </w:rPr>
        <w:t>环境</w:t>
      </w:r>
      <w:r>
        <w:rPr>
          <w:rFonts w:hint="eastAsia" w:eastAsia="仿宋_GB2312" w:cs="Times New Roman"/>
          <w:kern w:val="2"/>
          <w:sz w:val="32"/>
          <w:szCs w:val="32"/>
          <w:highlight w:val="none"/>
          <w:lang w:val="en-US" w:eastAsia="zh-CN" w:bidi="ar-SA"/>
        </w:rPr>
        <w:t>质量</w:t>
      </w:r>
      <w:r>
        <w:rPr>
          <w:rFonts w:hint="default" w:ascii="Times New Roman" w:hAnsi="Times New Roman" w:eastAsia="仿宋_GB2312" w:cs="Times New Roman"/>
          <w:kern w:val="2"/>
          <w:sz w:val="32"/>
          <w:szCs w:val="32"/>
          <w:highlight w:val="none"/>
          <w:lang w:val="en-US" w:eastAsia="zh-CN" w:bidi="ar-SA"/>
        </w:rPr>
        <w:t>等。</w:t>
      </w:r>
    </w:p>
    <w:p w14:paraId="68579A3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托里县林业总站</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ABF8B6A">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改善环境质量</w:t>
      </w:r>
      <w:r>
        <w:rPr>
          <w:rFonts w:hint="default" w:ascii="Times New Roman" w:hAnsi="Times New Roman" w:eastAsia="仿宋_GB2312" w:cs="Times New Roman"/>
          <w:sz w:val="32"/>
          <w:szCs w:val="32"/>
          <w:highlight w:val="none"/>
        </w:rPr>
        <w:t>等方面的提升，为项目的利益相关者带来了实实在在的利益。</w:t>
      </w:r>
    </w:p>
    <w:p w14:paraId="536A0ACA">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b w:val="0"/>
          <w:bCs w:val="0"/>
          <w:kern w:val="2"/>
          <w:sz w:val="32"/>
          <w:szCs w:val="32"/>
          <w:highlight w:val="none"/>
          <w:lang w:val="en-US" w:eastAsia="zh-CN" w:bidi="ar-SA"/>
        </w:rPr>
        <w:t>2024年中央林业改革发展资金完善退耕还生态林项目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1AED4E34">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277C87F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98</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38</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w:t>
      </w:r>
      <w:r>
        <w:rPr>
          <w:rFonts w:hint="default" w:ascii="Times New Roman" w:hAnsi="Times New Roman" w:eastAsia="仿宋_GB2312" w:cs="Times New Roman"/>
          <w:b w:val="0"/>
          <w:bCs w:val="0"/>
        </w:rPr>
        <w:t>体打分情况详见：附件1综合评分表</w:t>
      </w:r>
      <w:r>
        <w:rPr>
          <w:rFonts w:hint="default" w:ascii="Times New Roman" w:hAnsi="Times New Roman" w:eastAsia="仿宋_GB2312" w:cs="Times New Roman"/>
          <w:b w:val="0"/>
          <w:bCs w:val="0"/>
          <w:lang w:eastAsia="zh-CN"/>
        </w:rPr>
        <w:t>。</w:t>
      </w:r>
    </w:p>
    <w:p w14:paraId="3F34D0BE">
      <w:pPr>
        <w:rPr>
          <w:rFonts w:hint="default" w:ascii="Times New Roman" w:hAnsi="Times New Roman" w:eastAsia="仿宋_GB2312" w:cs="Times New Roman"/>
          <w:b w:val="0"/>
          <w:bCs w:val="0"/>
          <w:lang w:eastAsia="zh-CN"/>
        </w:rPr>
      </w:pPr>
    </w:p>
    <w:p w14:paraId="3514CBB8">
      <w:pPr>
        <w:rPr>
          <w:rFonts w:hint="default" w:ascii="Times New Roman" w:hAnsi="Times New Roman" w:eastAsia="仿宋_GB2312" w:cs="Times New Roman"/>
          <w:b w:val="0"/>
          <w:bCs w:val="0"/>
          <w:lang w:eastAsia="zh-CN"/>
        </w:rPr>
      </w:pPr>
    </w:p>
    <w:p w14:paraId="590AB0A2">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43220F8A">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0ABECD4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6756428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F4E324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64E7F011">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170090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B92011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502648D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2EAF33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52E78C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17E92958">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3BEAFC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3B1A3D9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D2DD15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727B2D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34A6361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FC49FC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285CD76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6277131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38</w:t>
            </w:r>
          </w:p>
        </w:tc>
        <w:tc>
          <w:tcPr>
            <w:tcW w:w="1154" w:type="pct"/>
            <w:tcBorders>
              <w:top w:val="nil"/>
              <w:left w:val="nil"/>
              <w:bottom w:val="single" w:color="auto" w:sz="4" w:space="0"/>
              <w:right w:val="single" w:color="auto" w:sz="4" w:space="0"/>
            </w:tcBorders>
            <w:shd w:val="clear" w:color="auto" w:fill="auto"/>
            <w:vAlign w:val="center"/>
          </w:tcPr>
          <w:p w14:paraId="587B6C2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95%</w:t>
            </w:r>
          </w:p>
        </w:tc>
      </w:tr>
      <w:tr w14:paraId="52FDFB5D">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037E73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19337E2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82269B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EB8C19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46C7B19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91B28D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14:paraId="638EFE9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65F819FF">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98</w:t>
            </w:r>
          </w:p>
        </w:tc>
        <w:tc>
          <w:tcPr>
            <w:tcW w:w="1154" w:type="pct"/>
            <w:tcBorders>
              <w:top w:val="nil"/>
              <w:left w:val="nil"/>
              <w:bottom w:val="single" w:color="auto" w:sz="4" w:space="0"/>
              <w:right w:val="single" w:color="auto" w:sz="4" w:space="0"/>
            </w:tcBorders>
            <w:shd w:val="clear" w:color="auto" w:fill="auto"/>
            <w:vAlign w:val="center"/>
          </w:tcPr>
          <w:p w14:paraId="06B528D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highlight w:val="none"/>
                <w:lang w:val="en-US" w:eastAsia="zh-CN"/>
              </w:rPr>
              <w:t>98.75%</w:t>
            </w:r>
          </w:p>
        </w:tc>
      </w:tr>
    </w:tbl>
    <w:p w14:paraId="606C4A51">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5F4C3AF7">
      <w:pPr>
        <w:pStyle w:val="9"/>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74EF7EB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67D78C9">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1848D5D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62825A0E">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5DCE60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0FD517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18BA9096">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43D1220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A00B0F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183752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91B9F6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5D45BD0">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50146B6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DB3C6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E8A9E7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7AC03B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5F085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B2918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2527D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39467B4">
      <w:pPr>
        <w:pStyle w:val="9"/>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7E3D002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47936F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03F00A3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13C2322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r>
        <w:rPr>
          <w:rFonts w:hint="default" w:ascii="Times New Roman" w:hAnsi="Times New Roman" w:eastAsia="仿宋_GB2312" w:cs="Times New Roman"/>
          <w:sz w:val="32"/>
          <w:szCs w:val="32"/>
          <w:lang w:val="en-US" w:eastAsia="zh-CN"/>
        </w:rPr>
        <w:t>。</w:t>
      </w:r>
    </w:p>
    <w:p w14:paraId="6E27586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9C2F7F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13.06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89.82</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w:t>
      </w:r>
    </w:p>
    <w:p w14:paraId="01ECEE1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F5255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E7A0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86E78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1942678">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7B8EA30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A6680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8CC52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52FDC1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5DA0D8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72BF2F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EF018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4514B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7E406F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53264755">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17EE1F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w:t>
      </w:r>
      <w:r>
        <w:rPr>
          <w:rFonts w:hint="default" w:ascii="Times New Roman" w:hAnsi="Times New Roman" w:eastAsia="仿宋_GB2312" w:cs="Times New Roman"/>
          <w:sz w:val="32"/>
          <w:szCs w:val="32"/>
          <w:highlight w:val="none"/>
          <w:lang w:val="en-US" w:eastAsia="zh-CN"/>
        </w:rPr>
        <w:t>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%。具体产出指标完成</w:t>
      </w:r>
      <w:r>
        <w:rPr>
          <w:rFonts w:hint="default" w:ascii="Times New Roman" w:hAnsi="Times New Roman" w:eastAsia="仿宋_GB2312" w:cs="Times New Roman"/>
          <w:sz w:val="32"/>
          <w:szCs w:val="32"/>
          <w:lang w:val="en-US" w:eastAsia="zh-CN"/>
        </w:rPr>
        <w:t>情况如下：</w:t>
      </w:r>
    </w:p>
    <w:p w14:paraId="78F7BF8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A0FEFEA">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上一轮退耕还生态林涉及的乡镇，指标值：&gt;=4个，实际完成值：</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0%。</w:t>
      </w:r>
    </w:p>
    <w:p w14:paraId="25B3CE3D">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上一轮退耕还生态林抚育面积，指标值：&gt;=7268亩，实际完成值：</w:t>
      </w:r>
      <w:r>
        <w:rPr>
          <w:rFonts w:hint="eastAsia" w:eastAsia="仿宋_GB2312" w:cs="Times New Roman"/>
          <w:sz w:val="32"/>
          <w:szCs w:val="32"/>
          <w:highlight w:val="none"/>
          <w:lang w:val="en-US" w:eastAsia="zh-CN"/>
        </w:rPr>
        <w:t>6532亩</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89.87</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10.13%。偏差原因：736亩退耕林地验收不合格；改进措施：计划2025年春季开展补植，加强林木管护。</w:t>
      </w:r>
      <w:bookmarkStart w:id="1" w:name="_GoBack"/>
      <w:bookmarkEnd w:id="1"/>
    </w:p>
    <w:p w14:paraId="4FDB478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7B1C8653">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指标1：退耕还林地保存率，指标值：&gt;=65%，实际完成值：=</w:t>
      </w:r>
      <w:r>
        <w:rPr>
          <w:rFonts w:hint="eastAsia" w:eastAsia="仿宋_GB2312" w:cs="Times New Roman"/>
          <w:sz w:val="32"/>
          <w:szCs w:val="32"/>
          <w:highlight w:val="none"/>
          <w:lang w:val="en-US" w:eastAsia="zh-CN"/>
        </w:rPr>
        <w:t>65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0%。</w:t>
      </w:r>
    </w:p>
    <w:p w14:paraId="6A666C8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9DA69CF">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指标1：上一轮退耕还生态林补助资金兑现及时率，指标值：&gt;=90%，实际完成值：90%，指标完成率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0%。</w:t>
      </w:r>
    </w:p>
    <w:p w14:paraId="277D1351">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：补贴发放完成时间，指标值：2024年12月25日，实际完成值：2024年12月25日，指标完成率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0%。</w:t>
      </w:r>
    </w:p>
    <w:p w14:paraId="6BFBE49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44DFF8C9">
      <w:pPr>
        <w:pStyle w:val="10"/>
        <w:numPr>
          <w:ilvl w:val="0"/>
          <w:numId w:val="0"/>
        </w:num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上一轮退耕还生态林抚育标准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&lt;=20元/亩</w:t>
      </w:r>
      <w:r>
        <w:rPr>
          <w:rFonts w:hint="default" w:ascii="Times New Roman" w:hAnsi="Times New Roman" w:eastAsia="仿宋_GB2312" w:cs="Times New Roman"/>
          <w:sz w:val="32"/>
          <w:szCs w:val="32"/>
          <w:highlight w:val="none"/>
        </w:rPr>
        <w:t>，实际完成值：20元/亩，指标完成率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0%。</w:t>
      </w:r>
    </w:p>
    <w:p w14:paraId="4BEC5EB6">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32D689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11ECF1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318A23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①生态效益指标：</w:t>
      </w:r>
    </w:p>
    <w:p w14:paraId="55900FDB">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指标1：改善环境质量，指标值：有效改善，实际完成值：有效改善，指标完成率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偏差为</w:t>
      </w:r>
      <w:r>
        <w:rPr>
          <w:rFonts w:hint="eastAsia" w:eastAsia="仿宋_GB2312" w:cs="Times New Roman"/>
          <w:sz w:val="32"/>
          <w:szCs w:val="32"/>
          <w:highlight w:val="none"/>
          <w:lang w:val="en-US" w:eastAsia="zh-CN"/>
        </w:rPr>
        <w:t>0%。</w:t>
      </w:r>
    </w:p>
    <w:p w14:paraId="6262D51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21BE1B89">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指标1：受益人员满意度，指标值：&gt;=90%，实际完成值：</w:t>
      </w:r>
      <w:r>
        <w:rPr>
          <w:rFonts w:hint="eastAsia" w:ascii="Times New Roman" w:hAnsi="Times New Roman" w:eastAsia="仿宋_GB2312" w:cs="Times New Roman"/>
          <w:b w:val="0"/>
          <w:bCs w:val="0"/>
          <w:kern w:val="2"/>
          <w:sz w:val="32"/>
          <w:szCs w:val="32"/>
          <w:highlight w:val="none"/>
          <w:lang w:val="en-US" w:eastAsia="zh-CN" w:bidi="ar-SA"/>
        </w:rPr>
        <w:t>=90%</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偏差为0%。</w:t>
      </w:r>
    </w:p>
    <w:p w14:paraId="704F0CAF">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50C9D0E8">
      <w:pPr>
        <w:shd w:val="clear" w:color="auto" w:fill="auto"/>
        <w:spacing w:line="600" w:lineRule="exact"/>
        <w:ind w:firstLine="640" w:firstLineChars="200"/>
        <w:outlineLvl w:val="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2024年中央林业改革发展资金完善退耕还生态林项目</w:t>
      </w:r>
      <w:r>
        <w:rPr>
          <w:rFonts w:hint="default" w:ascii="Times New Roman" w:hAnsi="Times New Roman" w:eastAsia="方正仿宋_GBK" w:cs="Times New Roman"/>
          <w:sz w:val="32"/>
          <w:szCs w:val="32"/>
          <w:highlight w:val="none"/>
        </w:rPr>
        <w:t>项目年初预算</w:t>
      </w:r>
      <w:r>
        <w:rPr>
          <w:rFonts w:hint="eastAsia" w:ascii="Times New Roman" w:hAnsi="Times New Roman" w:eastAsia="方正仿宋_GBK" w:cs="Times New Roman"/>
          <w:sz w:val="32"/>
          <w:szCs w:val="32"/>
          <w:highlight w:val="none"/>
          <w:lang w:val="en-US" w:eastAsia="zh-CN"/>
        </w:rPr>
        <w:t>14.5</w:t>
      </w:r>
      <w:r>
        <w:rPr>
          <w:rFonts w:hint="eastAsia"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万元，全年预算</w:t>
      </w:r>
      <w:r>
        <w:rPr>
          <w:rFonts w:hint="eastAsia" w:ascii="Times New Roman" w:hAnsi="Times New Roman" w:eastAsia="方正仿宋_GBK" w:cs="Times New Roman"/>
          <w:sz w:val="32"/>
          <w:szCs w:val="32"/>
          <w:highlight w:val="none"/>
          <w:lang w:val="en-US" w:eastAsia="zh-CN"/>
        </w:rPr>
        <w:t>14.5</w:t>
      </w:r>
      <w:r>
        <w:rPr>
          <w:rFonts w:hint="eastAsia"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万元，实际支出</w:t>
      </w:r>
      <w:r>
        <w:rPr>
          <w:rFonts w:hint="eastAsia" w:ascii="Times New Roman" w:hAnsi="Times New Roman" w:eastAsia="方正仿宋_GBK" w:cs="Times New Roman"/>
          <w:sz w:val="32"/>
          <w:szCs w:val="32"/>
          <w:highlight w:val="none"/>
          <w:lang w:val="en-US" w:eastAsia="zh-CN"/>
        </w:rPr>
        <w:t>13.06</w:t>
      </w:r>
      <w:r>
        <w:rPr>
          <w:rFonts w:hint="default" w:ascii="Times New Roman" w:hAnsi="Times New Roman" w:eastAsia="方正仿宋_GBK" w:cs="Times New Roman"/>
          <w:sz w:val="32"/>
          <w:szCs w:val="32"/>
          <w:highlight w:val="none"/>
        </w:rPr>
        <w:t>万元，预算执行率为</w:t>
      </w:r>
      <w:r>
        <w:rPr>
          <w:rFonts w:hint="eastAsia" w:ascii="Times New Roman" w:hAnsi="Times New Roman" w:eastAsia="方正仿宋_GBK" w:cs="Times New Roman"/>
          <w:sz w:val="32"/>
          <w:szCs w:val="32"/>
          <w:highlight w:val="none"/>
          <w:lang w:val="en-US" w:eastAsia="zh-CN"/>
        </w:rPr>
        <w:t>89.82</w:t>
      </w:r>
      <w:r>
        <w:rPr>
          <w:rFonts w:hint="default" w:ascii="Times New Roman" w:hAnsi="Times New Roman" w:eastAsia="方正仿宋_GBK" w:cs="Times New Roman"/>
          <w:sz w:val="32"/>
          <w:szCs w:val="32"/>
          <w:highlight w:val="none"/>
        </w:rPr>
        <w:t>%，项目绩效指标总体完成率为</w:t>
      </w:r>
      <w:r>
        <w:rPr>
          <w:rFonts w:hint="eastAsia" w:ascii="Times New Roman" w:hAnsi="Times New Roman" w:eastAsia="方正仿宋_GBK" w:cs="Times New Roman"/>
          <w:sz w:val="32"/>
          <w:szCs w:val="32"/>
          <w:highlight w:val="none"/>
          <w:lang w:val="en-US" w:eastAsia="zh-CN"/>
        </w:rPr>
        <w:t>98.73</w:t>
      </w:r>
      <w:r>
        <w:rPr>
          <w:rFonts w:hint="default" w:ascii="Times New Roman" w:hAnsi="Times New Roman" w:eastAsia="方正仿宋_GBK" w:cs="Times New Roman"/>
          <w:sz w:val="32"/>
          <w:szCs w:val="32"/>
          <w:highlight w:val="none"/>
        </w:rPr>
        <w:t>%，总体偏差率为</w:t>
      </w:r>
      <w:r>
        <w:rPr>
          <w:rFonts w:hint="eastAsia" w:ascii="Times New Roman" w:hAnsi="Times New Roman" w:eastAsia="方正仿宋_GBK" w:cs="Times New Roman"/>
          <w:sz w:val="32"/>
          <w:szCs w:val="32"/>
          <w:highlight w:val="none"/>
          <w:lang w:val="en-US" w:eastAsia="zh-CN"/>
        </w:rPr>
        <w:t>1.27</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val="en-US" w:eastAsia="zh-CN"/>
        </w:rPr>
        <w:t>偏差原因：736亩退耕林地验收不合格</w:t>
      </w:r>
      <w:r>
        <w:rPr>
          <w:rFonts w:hint="eastAsia"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改进措施：计划2025年春季开展补植，加强林木管护。</w:t>
      </w:r>
    </w:p>
    <w:p w14:paraId="382682DE">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0122DE8">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88591C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4DF66C2">
      <w:pPr>
        <w:pStyle w:val="9"/>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D5479E5">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0D6CB3D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E9113A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908EFF5">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155CBD5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587DEC5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79378F7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B8395C8">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7C4844A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2DF0D8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36393467">
      <w:pPr>
        <w:pStyle w:val="11"/>
        <w:spacing w:after="0" w:line="560" w:lineRule="exact"/>
        <w:ind w:left="0" w:leftChars="0" w:firstLine="64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EE0DD7-EB20-4C68-926C-4D37988127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2A04DE46-C4CF-4194-9997-A62ED11B3062}"/>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embedRegular r:id="rId3" w:fontKey="{87A56EB1-D18C-48DF-9EC6-AA348E9EAD2B}"/>
  </w:font>
  <w:font w:name="方正小标宋_GBK">
    <w:panose1 w:val="02000000000000000000"/>
    <w:charset w:val="86"/>
    <w:family w:val="script"/>
    <w:pitch w:val="default"/>
    <w:sig w:usb0="A00002BF" w:usb1="38CF7CFA" w:usb2="00082016" w:usb3="00000000" w:csb0="00040001" w:csb1="00000000"/>
    <w:embedRegular r:id="rId4" w:fontKey="{BCC1A560-C606-44B4-90A6-8BE5E008C514}"/>
  </w:font>
  <w:font w:name="楷体_GB2312">
    <w:altName w:val="楷体"/>
    <w:panose1 w:val="00000000000000000000"/>
    <w:charset w:val="86"/>
    <w:family w:val="auto"/>
    <w:pitch w:val="default"/>
    <w:sig w:usb0="00000000" w:usb1="00000000" w:usb2="00000000" w:usb3="00000000" w:csb0="00040000" w:csb1="00000000"/>
    <w:embedRegular r:id="rId5" w:fontKey="{E1056C45-75DC-4DEC-B0DB-16D51636437A}"/>
  </w:font>
  <w:font w:name="楷体">
    <w:panose1 w:val="02010609060101010101"/>
    <w:charset w:val="86"/>
    <w:family w:val="modern"/>
    <w:pitch w:val="default"/>
    <w:sig w:usb0="800002BF" w:usb1="38CF7CFA" w:usb2="00000016" w:usb3="00000000" w:csb0="00040001" w:csb1="00000000"/>
    <w:embedRegular r:id="rId6" w:fontKey="{D5113685-6D3A-4AF9-BCAF-5A101AEC8737}"/>
  </w:font>
  <w:font w:name="方正仿宋_GBK">
    <w:altName w:val="微软雅黑"/>
    <w:panose1 w:val="03000509000000000000"/>
    <w:charset w:val="86"/>
    <w:family w:val="auto"/>
    <w:pitch w:val="default"/>
    <w:sig w:usb0="00000000" w:usb1="00000000" w:usb2="00000000" w:usb3="00000000" w:csb0="00040000" w:csb1="00000000"/>
    <w:embedRegular r:id="rId7" w:fontKey="{516C2A04-C7D1-4B6A-80C2-1690EBB5C54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32E4411">
        <w:pPr>
          <w:pStyle w:val="6"/>
          <w:jc w:val="center"/>
        </w:pPr>
        <w:r>
          <w:fldChar w:fldCharType="begin"/>
        </w:r>
        <w:r>
          <w:instrText xml:space="preserve">PAGE   \* MERGEFORMAT</w:instrText>
        </w:r>
        <w:r>
          <w:fldChar w:fldCharType="separate"/>
        </w:r>
        <w:r>
          <w:rPr>
            <w:lang w:val="zh-CN"/>
          </w:rPr>
          <w:t>13</w:t>
        </w:r>
        <w:r>
          <w:fldChar w:fldCharType="end"/>
        </w:r>
      </w:p>
    </w:sdtContent>
  </w:sdt>
  <w:p w14:paraId="19153BF5">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3D472A8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 w:type="paragraph" w:customStyle="1" w:styleId="25">
    <w:name w:val="_Style 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eyJoZGlkIjoiYjMxNzRkMDRkMjBlNzMxOTE5OGI0OGJjMTJkOTA1YjAiLCJ1c2VySWQiOiI0NTU5OTM2MzMifQ==</vt:lpwstr>
  </property>
</Properties>
</file>

<file path=customXml/itemProps1.xml><?xml version="1.0" encoding="utf-8"?>
<ds:datastoreItem xmlns:ds="http://schemas.openxmlformats.org/officeDocument/2006/customXml" ds:itemID="{e3d69e41-9133-489d-9242-bc94bee60049}">
  <ds:schemaRefs/>
</ds:datastoreItem>
</file>

<file path=docProps/app.xml><?xml version="1.0" encoding="utf-8"?>
<Properties xmlns="http://schemas.openxmlformats.org/officeDocument/2006/extended-properties" xmlns:vt="http://schemas.openxmlformats.org/officeDocument/2006/docPropsVTypes">
  <Template>Normal</Template>
  <Pages>21</Pages>
  <Words>9746</Words>
  <Characters>10148</Characters>
  <Lines>58</Lines>
  <Paragraphs>16</Paragraphs>
  <TotalTime>26</TotalTime>
  <ScaleCrop>false</ScaleCrop>
  <LinksUpToDate>false</LinksUpToDate>
  <CharactersWithSpaces>10155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2025-10-31T07:24:18Z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eyJoZGlkIjoiZjZjY2YzNDY3YWM4YThjNjdkZTk2MDAwYjE2OGQzNDQiLCJ1c2VySWQiOiIzNzI2MDMzNTYifQ==</vt:lpwstr>
  </property>
</Properties>
</file>